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EF" w:rsidRDefault="008C4274" w:rsidP="008C4274">
      <w:pPr>
        <w:jc w:val="center"/>
      </w:pPr>
      <w:r>
        <w:t xml:space="preserve">ME Cataloging Meeting </w:t>
      </w:r>
      <w:r w:rsidR="00CA4B93">
        <w:t>notes</w:t>
      </w:r>
    </w:p>
    <w:p w:rsidR="008C4274" w:rsidRDefault="008C4274" w:rsidP="008C4274">
      <w:pPr>
        <w:jc w:val="center"/>
      </w:pPr>
      <w:r>
        <w:t>1/11/21</w:t>
      </w:r>
    </w:p>
    <w:p w:rsidR="008C4274" w:rsidRDefault="008C4274" w:rsidP="008C4274">
      <w:pPr>
        <w:jc w:val="center"/>
      </w:pPr>
    </w:p>
    <w:p w:rsidR="008C4274" w:rsidRDefault="008C4274" w:rsidP="008C4274">
      <w:pPr>
        <w:pStyle w:val="Heading1"/>
      </w:pPr>
      <w:r>
        <w:t>Cataloging Committee projects</w:t>
      </w:r>
    </w:p>
    <w:p w:rsidR="008C4274" w:rsidRDefault="008C4274" w:rsidP="008C4274">
      <w:pPr>
        <w:pStyle w:val="ListParagraph"/>
        <w:numPr>
          <w:ilvl w:val="0"/>
          <w:numId w:val="1"/>
        </w:numPr>
      </w:pPr>
      <w:r>
        <w:t xml:space="preserve">Please keep in mind the new </w:t>
      </w:r>
      <w:bookmarkStart w:id="0" w:name="_Hlk61941350"/>
      <w:r w:rsidR="000A4333">
        <w:fldChar w:fldCharType="begin"/>
      </w:r>
      <w:r w:rsidR="000A4333">
        <w:instrText xml:space="preserve"> HYPERLINK "http://moevergreenlibraries.org/circulation-training-materials/" </w:instrText>
      </w:r>
      <w:r w:rsidR="000A4333">
        <w:fldChar w:fldCharType="separate"/>
      </w:r>
      <w:r w:rsidRPr="000A4333">
        <w:rPr>
          <w:rStyle w:val="Hyperlink"/>
        </w:rPr>
        <w:t>ME Cataloging policy</w:t>
      </w:r>
      <w:r w:rsidR="000A4333">
        <w:fldChar w:fldCharType="end"/>
      </w:r>
      <w:r>
        <w:t xml:space="preserve"> </w:t>
      </w:r>
      <w:bookmarkEnd w:id="0"/>
      <w:r>
        <w:t xml:space="preserve">that was adopted last month. There are several noteworthy changes that everyone needs to be aware of. </w:t>
      </w:r>
    </w:p>
    <w:p w:rsidR="008C4274" w:rsidRDefault="008C4274" w:rsidP="008C4274">
      <w:pPr>
        <w:pStyle w:val="ListParagraph"/>
        <w:numPr>
          <w:ilvl w:val="1"/>
          <w:numId w:val="1"/>
        </w:numPr>
      </w:pPr>
      <w:r>
        <w:t xml:space="preserve">On that note, several questions have come up regarding the certification of ME catalogers. We are working on that certification and will let you know as soon as we have something together. </w:t>
      </w:r>
    </w:p>
    <w:p w:rsidR="008C4274" w:rsidRDefault="008C4274" w:rsidP="008C4274">
      <w:pPr>
        <w:pStyle w:val="ListParagraph"/>
        <w:numPr>
          <w:ilvl w:val="0"/>
          <w:numId w:val="1"/>
        </w:numPr>
      </w:pPr>
      <w:r>
        <w:t>ISBN deduplication a success, but did bring with it some issues.</w:t>
      </w:r>
    </w:p>
    <w:p w:rsidR="000A4333" w:rsidRDefault="008C4274" w:rsidP="000A4333">
      <w:pPr>
        <w:pStyle w:val="ListParagraph"/>
        <w:numPr>
          <w:ilvl w:val="1"/>
          <w:numId w:val="1"/>
        </w:numPr>
      </w:pPr>
      <w:r>
        <w:t>A/V materials that had a .$p and/or a .$n field were merged</w:t>
      </w:r>
    </w:p>
    <w:p w:rsidR="000A4333" w:rsidRDefault="000A4333" w:rsidP="000A4333">
      <w:pPr>
        <w:pStyle w:val="ListParagraph"/>
        <w:numPr>
          <w:ilvl w:val="1"/>
          <w:numId w:val="1"/>
        </w:numPr>
      </w:pPr>
      <w:r>
        <w:t xml:space="preserve">Some series that had the series title in the 245 were also merged, but on a lesser scale. </w:t>
      </w:r>
    </w:p>
    <w:p w:rsidR="008C4274" w:rsidRDefault="008C4274" w:rsidP="008C4274">
      <w:pPr>
        <w:pStyle w:val="ListParagraph"/>
        <w:numPr>
          <w:ilvl w:val="1"/>
          <w:numId w:val="1"/>
        </w:numPr>
      </w:pPr>
      <w:r>
        <w:t xml:space="preserve">In two batches, our project manager was able to un-merge a little over 3,800 ITEMS (not bib records) back onto their original bib records.  This was to A/V materials. </w:t>
      </w:r>
    </w:p>
    <w:p w:rsidR="00252844" w:rsidRDefault="00252844" w:rsidP="008C4274">
      <w:pPr>
        <w:pStyle w:val="ListParagraph"/>
        <w:numPr>
          <w:ilvl w:val="1"/>
          <w:numId w:val="1"/>
        </w:numPr>
      </w:pPr>
      <w:r>
        <w:t xml:space="preserve">This brought to the forefront the issues with placing series titles in the 245. </w:t>
      </w:r>
      <w:r w:rsidR="000A4333">
        <w:t>This was discussed at length later in the meeting.</w:t>
      </w:r>
    </w:p>
    <w:p w:rsidR="008F731F" w:rsidRDefault="008F731F" w:rsidP="008F731F">
      <w:pPr>
        <w:pStyle w:val="Heading1"/>
      </w:pPr>
      <w:r>
        <w:t>Cataloger’s connect</w:t>
      </w:r>
    </w:p>
    <w:p w:rsidR="008F731F" w:rsidRDefault="008F731F" w:rsidP="008F731F">
      <w:pPr>
        <w:pStyle w:val="ListParagraph"/>
        <w:numPr>
          <w:ilvl w:val="0"/>
          <w:numId w:val="2"/>
        </w:numPr>
      </w:pPr>
      <w:r>
        <w:t>January ME Circ meeting is Jan. 26.</w:t>
      </w:r>
    </w:p>
    <w:p w:rsidR="008F731F" w:rsidRDefault="008F731F" w:rsidP="008F731F">
      <w:pPr>
        <w:pStyle w:val="Heading1"/>
      </w:pPr>
      <w:r>
        <w:t>Let’s talk cataloging!</w:t>
      </w:r>
    </w:p>
    <w:p w:rsidR="008F731F" w:rsidRDefault="000A4333" w:rsidP="008F731F">
      <w:pPr>
        <w:pStyle w:val="ListParagraph"/>
        <w:numPr>
          <w:ilvl w:val="0"/>
          <w:numId w:val="3"/>
        </w:numPr>
      </w:pPr>
      <w:r>
        <w:t>The</w:t>
      </w:r>
      <w:r w:rsidR="008F731F">
        <w:t xml:space="preserve"> deduplication was certainly a roller coaster. We had major success! But we also had a rather large problem come out of it. </w:t>
      </w:r>
    </w:p>
    <w:p w:rsidR="004E11A4" w:rsidRDefault="000A4333" w:rsidP="004E11A4">
      <w:pPr>
        <w:pStyle w:val="ListParagraph"/>
        <w:numPr>
          <w:ilvl w:val="1"/>
          <w:numId w:val="3"/>
        </w:numPr>
      </w:pPr>
      <w:r>
        <w:t>T</w:t>
      </w:r>
      <w:r w:rsidR="004E11A4">
        <w:t>he script</w:t>
      </w:r>
      <w:r>
        <w:t xml:space="preserve"> has been edited</w:t>
      </w:r>
      <w:r w:rsidR="004E11A4">
        <w:t xml:space="preserve"> so that this doesn’t happen in future deduplications. </w:t>
      </w:r>
    </w:p>
    <w:p w:rsidR="004E11A4" w:rsidRDefault="004E11A4" w:rsidP="004E11A4">
      <w:pPr>
        <w:pStyle w:val="ListParagraph"/>
        <w:numPr>
          <w:ilvl w:val="1"/>
          <w:numId w:val="3"/>
        </w:numPr>
      </w:pPr>
      <w:r>
        <w:t xml:space="preserve">A large majority of the A/V materials were batch fixed. But certainly not all of them. </w:t>
      </w:r>
      <w:r w:rsidR="000A4333">
        <w:t>ONLY A/V materials were unmerged. If there were book series that were merged because the series title was in the 245, those did not get unmerged.</w:t>
      </w:r>
    </w:p>
    <w:p w:rsidR="003D0CA8" w:rsidRPr="000A4333" w:rsidRDefault="003D0CA8" w:rsidP="003D0CA8">
      <w:pPr>
        <w:pStyle w:val="ListParagraph"/>
        <w:numPr>
          <w:ilvl w:val="0"/>
          <w:numId w:val="3"/>
        </w:numPr>
        <w:rPr>
          <w:rFonts w:cstheme="minorHAnsi"/>
        </w:rPr>
      </w:pPr>
      <w:r w:rsidRPr="000A4333">
        <w:rPr>
          <w:rFonts w:cstheme="minorHAnsi"/>
        </w:rPr>
        <w:t>Series in the 245 or in a 490/8xx</w:t>
      </w:r>
    </w:p>
    <w:p w:rsidR="003D0CA8" w:rsidRPr="000A4333" w:rsidRDefault="003D0CA8" w:rsidP="003D0CA8">
      <w:pPr>
        <w:pStyle w:val="ListParagraph"/>
        <w:numPr>
          <w:ilvl w:val="1"/>
          <w:numId w:val="3"/>
        </w:numPr>
        <w:rPr>
          <w:rFonts w:cstheme="minorHAnsi"/>
        </w:rPr>
      </w:pPr>
      <w:r w:rsidRPr="000A4333">
        <w:rPr>
          <w:rFonts w:cstheme="minorHAnsi"/>
          <w:u w:val="single"/>
        </w:rPr>
        <w:t>A series title does not go in the title field in a bib record</w:t>
      </w:r>
      <w:r w:rsidRPr="000A4333">
        <w:rPr>
          <w:rFonts w:cstheme="minorHAnsi"/>
        </w:rPr>
        <w:t>. This information goes in a 490/800/830 field.</w:t>
      </w:r>
    </w:p>
    <w:p w:rsidR="003D0CA8" w:rsidRPr="000A4333" w:rsidRDefault="003D0CA8" w:rsidP="003D0CA8">
      <w:pPr>
        <w:pStyle w:val="ListParagraph"/>
        <w:numPr>
          <w:ilvl w:val="2"/>
          <w:numId w:val="3"/>
        </w:numPr>
        <w:spacing w:after="0" w:line="240" w:lineRule="auto"/>
        <w:rPr>
          <w:rFonts w:eastAsia="Times New Roman" w:cstheme="minorHAnsi"/>
        </w:rPr>
      </w:pPr>
      <w:r w:rsidRPr="000A4333">
        <w:rPr>
          <w:rFonts w:eastAsia="Times New Roman" w:cstheme="minorHAnsi"/>
        </w:rPr>
        <w:t xml:space="preserve">245 consists of title, subtitle, </w:t>
      </w:r>
      <w:proofErr w:type="gramStart"/>
      <w:r w:rsidRPr="000A4333">
        <w:rPr>
          <w:rFonts w:eastAsia="Times New Roman" w:cstheme="minorHAnsi"/>
        </w:rPr>
        <w:t>author</w:t>
      </w:r>
      <w:proofErr w:type="gramEnd"/>
      <w:r w:rsidRPr="000A4333">
        <w:rPr>
          <w:rFonts w:eastAsia="Times New Roman" w:cstheme="minorHAnsi"/>
        </w:rPr>
        <w:t xml:space="preserve">. This information is from the </w:t>
      </w:r>
      <w:r w:rsidRPr="000A4333">
        <w:rPr>
          <w:rFonts w:eastAsia="Times New Roman" w:cstheme="minorHAnsi"/>
          <w:u w:val="single"/>
        </w:rPr>
        <w:t>title page</w:t>
      </w:r>
      <w:r w:rsidRPr="000A4333">
        <w:rPr>
          <w:rFonts w:eastAsia="Times New Roman" w:cstheme="minorHAnsi"/>
        </w:rPr>
        <w:t xml:space="preserve">, NOT the cover. </w:t>
      </w:r>
    </w:p>
    <w:p w:rsidR="003D0CA8" w:rsidRPr="000A4333" w:rsidRDefault="003D0CA8" w:rsidP="003D0CA8">
      <w:pPr>
        <w:pStyle w:val="ListParagraph"/>
        <w:numPr>
          <w:ilvl w:val="2"/>
          <w:numId w:val="3"/>
        </w:numPr>
        <w:spacing w:after="0" w:line="240" w:lineRule="auto"/>
        <w:rPr>
          <w:rFonts w:eastAsia="Times New Roman" w:cstheme="minorHAnsi"/>
        </w:rPr>
      </w:pPr>
      <w:r w:rsidRPr="000A4333">
        <w:rPr>
          <w:rFonts w:eastAsia="Times New Roman" w:cstheme="minorHAnsi"/>
        </w:rPr>
        <w:t>245</w:t>
      </w:r>
      <w:proofErr w:type="gramStart"/>
      <w:r w:rsidRPr="000A4333">
        <w:rPr>
          <w:rFonts w:eastAsia="Times New Roman" w:cstheme="minorHAnsi"/>
        </w:rPr>
        <w:t>  10</w:t>
      </w:r>
      <w:proofErr w:type="gramEnd"/>
      <w:r w:rsidRPr="000A4333">
        <w:rPr>
          <w:rFonts w:eastAsia="Times New Roman" w:cstheme="minorHAnsi"/>
        </w:rPr>
        <w:t>  $</w:t>
      </w:r>
      <w:proofErr w:type="spellStart"/>
      <w:r w:rsidRPr="000A4333">
        <w:rPr>
          <w:rFonts w:eastAsia="Times New Roman" w:cstheme="minorHAnsi"/>
        </w:rPr>
        <w:t>aSomeone</w:t>
      </w:r>
      <w:proofErr w:type="spellEnd"/>
      <w:r w:rsidRPr="000A4333">
        <w:rPr>
          <w:rFonts w:eastAsia="Times New Roman" w:cstheme="minorHAnsi"/>
        </w:rPr>
        <w:t xml:space="preserve"> like you  :$</w:t>
      </w:r>
      <w:proofErr w:type="spellStart"/>
      <w:r w:rsidRPr="000A4333">
        <w:rPr>
          <w:rFonts w:eastAsia="Times New Roman" w:cstheme="minorHAnsi"/>
        </w:rPr>
        <w:t>bsubtitle</w:t>
      </w:r>
      <w:proofErr w:type="spellEnd"/>
      <w:r w:rsidRPr="000A4333">
        <w:rPr>
          <w:rFonts w:eastAsia="Times New Roman" w:cstheme="minorHAnsi"/>
        </w:rPr>
        <w:t xml:space="preserve"> here /$</w:t>
      </w:r>
      <w:proofErr w:type="spellStart"/>
      <w:r w:rsidRPr="000A4333">
        <w:rPr>
          <w:rFonts w:eastAsia="Times New Roman" w:cstheme="minorHAnsi"/>
        </w:rPr>
        <w:t>cKaren</w:t>
      </w:r>
      <w:proofErr w:type="spellEnd"/>
      <w:r w:rsidRPr="000A4333">
        <w:rPr>
          <w:rFonts w:eastAsia="Times New Roman" w:cstheme="minorHAnsi"/>
        </w:rPr>
        <w:t xml:space="preserve"> Kingsbury. </w:t>
      </w:r>
    </w:p>
    <w:p w:rsidR="003D0CA8" w:rsidRPr="00E62BC9" w:rsidRDefault="007829D6" w:rsidP="003D0CA8">
      <w:pPr>
        <w:pStyle w:val="ListParagraph"/>
        <w:numPr>
          <w:ilvl w:val="1"/>
          <w:numId w:val="3"/>
        </w:numPr>
        <w:spacing w:after="0" w:line="240" w:lineRule="auto"/>
        <w:rPr>
          <w:rFonts w:ascii="Times New Roman" w:eastAsia="Times New Roman" w:hAnsi="Times New Roman" w:cs="Times New Roman"/>
          <w:sz w:val="24"/>
          <w:szCs w:val="24"/>
        </w:rPr>
      </w:pPr>
      <w:r w:rsidRPr="000A4333">
        <w:rPr>
          <w:rFonts w:cstheme="minorHAnsi"/>
        </w:rPr>
        <w:t xml:space="preserve">Multipart monograph - </w:t>
      </w:r>
      <w:r w:rsidR="003D0CA8" w:rsidRPr="000A4333">
        <w:rPr>
          <w:rFonts w:cstheme="minorHAnsi"/>
        </w:rPr>
        <w:t xml:space="preserve">A series statement works in two parts. The 490 field along with a corresponding 8xx field. If the series statement is </w:t>
      </w:r>
      <w:hyperlink r:id="rId5" w:history="1">
        <w:r w:rsidR="003D0CA8" w:rsidRPr="000A4333">
          <w:rPr>
            <w:rStyle w:val="Hyperlink"/>
            <w:rFonts w:cstheme="minorHAnsi"/>
          </w:rPr>
          <w:t>authorized</w:t>
        </w:r>
      </w:hyperlink>
      <w:r w:rsidR="003D0CA8" w:rsidRPr="000A4333">
        <w:rPr>
          <w:rFonts w:cstheme="minorHAnsi"/>
        </w:rPr>
        <w:t xml:space="preserve"> with an author, it will be an 800 field. If the series is authorized with just the title (usually series where each book is written by a different person) it will be an 830 field. These are the title fields that Evergreen is searching</w:t>
      </w:r>
      <w:r w:rsidR="003D0CA8">
        <w:t xml:space="preserve"> for, as a 490 isn't a title field, but those 8xx fields are. So if the record has a 490 field but no 8xx field to go with it, it won't be searchable using a series faceted search. If you had used a keyword search, they would have come up, because keyword faceted searches check anywhere in the record, where a series search only searches those 8xx title fields.</w:t>
      </w:r>
      <w:r w:rsidR="00D82E75">
        <w:t xml:space="preserve"> Please see screenshots at end of these notes.</w:t>
      </w:r>
    </w:p>
    <w:p w:rsidR="003D0CA8" w:rsidRPr="00E62BC9" w:rsidRDefault="003D0CA8" w:rsidP="003D0CA8">
      <w:pPr>
        <w:pStyle w:val="ListParagraph"/>
        <w:numPr>
          <w:ilvl w:val="2"/>
          <w:numId w:val="3"/>
        </w:numPr>
        <w:spacing w:after="0" w:line="240" w:lineRule="auto"/>
        <w:rPr>
          <w:rFonts w:ascii="Times New Roman" w:eastAsia="Times New Roman" w:hAnsi="Times New Roman" w:cs="Times New Roman"/>
          <w:sz w:val="24"/>
          <w:szCs w:val="24"/>
        </w:rPr>
      </w:pPr>
      <w:r>
        <w:t>490  1\  $</w:t>
      </w:r>
      <w:proofErr w:type="spellStart"/>
      <w:r>
        <w:t>aBaxter</w:t>
      </w:r>
      <w:proofErr w:type="spellEnd"/>
      <w:r>
        <w:t xml:space="preserve"> family</w:t>
      </w:r>
    </w:p>
    <w:p w:rsidR="003D0CA8" w:rsidRPr="003D0CA8" w:rsidRDefault="003D0CA8" w:rsidP="003D0CA8">
      <w:pPr>
        <w:pStyle w:val="ListParagraph"/>
        <w:numPr>
          <w:ilvl w:val="2"/>
          <w:numId w:val="3"/>
        </w:numPr>
        <w:spacing w:after="0" w:line="240" w:lineRule="auto"/>
        <w:rPr>
          <w:rFonts w:ascii="Times New Roman" w:eastAsia="Times New Roman" w:hAnsi="Times New Roman" w:cs="Times New Roman"/>
          <w:sz w:val="24"/>
          <w:szCs w:val="24"/>
        </w:rPr>
      </w:pPr>
      <w:r>
        <w:t>800  1\  $</w:t>
      </w:r>
      <w:proofErr w:type="spellStart"/>
      <w:r>
        <w:t>aKingsbury</w:t>
      </w:r>
      <w:proofErr w:type="spellEnd"/>
      <w:r>
        <w:t>, Karen.$</w:t>
      </w:r>
      <w:proofErr w:type="spellStart"/>
      <w:r>
        <w:t>tBaxter</w:t>
      </w:r>
      <w:proofErr w:type="spellEnd"/>
      <w:r>
        <w:t xml:space="preserve"> family</w:t>
      </w:r>
    </w:p>
    <w:p w:rsidR="003D0CA8" w:rsidRPr="003D0CA8" w:rsidRDefault="003D0CA8" w:rsidP="003D0CA8">
      <w:pPr>
        <w:pStyle w:val="ListParagraph"/>
        <w:numPr>
          <w:ilvl w:val="2"/>
          <w:numId w:val="3"/>
        </w:numPr>
        <w:spacing w:after="0" w:line="240" w:lineRule="auto"/>
        <w:rPr>
          <w:rFonts w:ascii="Times New Roman" w:eastAsia="Times New Roman" w:hAnsi="Times New Roman" w:cs="Times New Roman"/>
          <w:sz w:val="24"/>
          <w:szCs w:val="24"/>
        </w:rPr>
      </w:pPr>
      <w:r>
        <w:t>490 1\</w:t>
      </w:r>
      <w:r>
        <w:tab/>
        <w:t>$</w:t>
      </w:r>
      <w:proofErr w:type="spellStart"/>
      <w:r>
        <w:t>aMighty</w:t>
      </w:r>
      <w:proofErr w:type="spellEnd"/>
      <w:r>
        <w:t xml:space="preserve"> Truck</w:t>
      </w:r>
    </w:p>
    <w:p w:rsidR="003D0CA8" w:rsidRPr="00E62BC9" w:rsidRDefault="003D0CA8" w:rsidP="003D0CA8">
      <w:pPr>
        <w:pStyle w:val="ListParagraph"/>
        <w:numPr>
          <w:ilvl w:val="2"/>
          <w:numId w:val="3"/>
        </w:numPr>
        <w:spacing w:after="0" w:line="240" w:lineRule="auto"/>
        <w:rPr>
          <w:rFonts w:ascii="Times New Roman" w:eastAsia="Times New Roman" w:hAnsi="Times New Roman" w:cs="Times New Roman"/>
          <w:sz w:val="24"/>
          <w:szCs w:val="24"/>
        </w:rPr>
      </w:pPr>
      <w:r>
        <w:t>800 1\ $</w:t>
      </w:r>
      <w:proofErr w:type="spellStart"/>
      <w:r>
        <w:t>aBarton</w:t>
      </w:r>
      <w:proofErr w:type="spellEnd"/>
      <w:r>
        <w:t>, Chris.$</w:t>
      </w:r>
      <w:proofErr w:type="spellStart"/>
      <w:r>
        <w:t>tMighty</w:t>
      </w:r>
      <w:proofErr w:type="spellEnd"/>
      <w:r>
        <w:t xml:space="preserve"> Truck</w:t>
      </w:r>
    </w:p>
    <w:p w:rsidR="003D0CA8" w:rsidRDefault="00D82E75" w:rsidP="00A778E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vast majority of graphic novels/manga will not follow this.</w:t>
      </w:r>
      <w:r w:rsidR="003D0CA8" w:rsidRPr="00E62BC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w:t>
      </w:r>
      <w:r w:rsidR="003D0CA8" w:rsidRPr="00E62BC9">
        <w:rPr>
          <w:rFonts w:ascii="Times New Roman" w:eastAsia="Times New Roman" w:hAnsi="Times New Roman" w:cs="Times New Roman"/>
          <w:sz w:val="24"/>
          <w:szCs w:val="24"/>
        </w:rPr>
        <w:t>Paper Girls ongoing graphic series by Brian K. Vaughn).To catalog these, you will identify the comprehensive title for the series and record it in the 245 $a, any volume or part number in the 245 $n, and any part title in the 245 $p.</w:t>
      </w:r>
    </w:p>
    <w:p w:rsidR="003D0CA8" w:rsidRDefault="00D82E75" w:rsidP="00221CB9">
      <w:pPr>
        <w:pStyle w:val="ListParagraph"/>
        <w:numPr>
          <w:ilvl w:val="0"/>
          <w:numId w:val="3"/>
        </w:numPr>
      </w:pPr>
      <w:r>
        <w:lastRenderedPageBreak/>
        <w:t>Coleman places a helpdesk ticket after realizing</w:t>
      </w:r>
      <w:r w:rsidR="007829D6">
        <w:t xml:space="preserve"> there were certain fields that were not searchable by title and author, when it is common cataloging practice to use these fields. </w:t>
      </w:r>
      <w:r>
        <w:t>Equinox mad</w:t>
      </w:r>
      <w:r w:rsidR="007829D6">
        <w:t xml:space="preserve">e these fields searchable. These were always searchable by keyword, but not by the access point which they were intended. </w:t>
      </w:r>
    </w:p>
    <w:p w:rsidR="007829D6" w:rsidRDefault="007829D6" w:rsidP="007829D6">
      <w:pPr>
        <w:pStyle w:val="ListParagraph"/>
        <w:numPr>
          <w:ilvl w:val="1"/>
          <w:numId w:val="3"/>
        </w:numPr>
      </w:pPr>
      <w:r>
        <w:t>505 $t – title</w:t>
      </w:r>
    </w:p>
    <w:p w:rsidR="007829D6" w:rsidRDefault="007829D6" w:rsidP="007829D6">
      <w:pPr>
        <w:pStyle w:val="ListParagraph"/>
        <w:numPr>
          <w:ilvl w:val="1"/>
          <w:numId w:val="3"/>
        </w:numPr>
      </w:pPr>
      <w:r>
        <w:t>505 $r - author</w:t>
      </w:r>
    </w:p>
    <w:p w:rsidR="007829D6" w:rsidRDefault="007829D6" w:rsidP="007829D6">
      <w:pPr>
        <w:pStyle w:val="ListParagraph"/>
        <w:numPr>
          <w:ilvl w:val="1"/>
          <w:numId w:val="3"/>
        </w:numPr>
      </w:pPr>
      <w:r>
        <w:t>700 – author</w:t>
      </w:r>
    </w:p>
    <w:p w:rsidR="007829D6" w:rsidRDefault="007829D6" w:rsidP="007829D6">
      <w:pPr>
        <w:pStyle w:val="ListParagraph"/>
        <w:numPr>
          <w:ilvl w:val="1"/>
          <w:numId w:val="3"/>
        </w:numPr>
      </w:pPr>
      <w:r>
        <w:t>710 – author</w:t>
      </w:r>
    </w:p>
    <w:p w:rsidR="007829D6" w:rsidRDefault="007829D6" w:rsidP="007829D6">
      <w:pPr>
        <w:pStyle w:val="ListParagraph"/>
        <w:numPr>
          <w:ilvl w:val="1"/>
          <w:numId w:val="3"/>
        </w:numPr>
      </w:pPr>
      <w:r>
        <w:t>730 – title</w:t>
      </w:r>
    </w:p>
    <w:p w:rsidR="007829D6" w:rsidRDefault="007829D6" w:rsidP="007829D6">
      <w:pPr>
        <w:pStyle w:val="ListParagraph"/>
        <w:numPr>
          <w:ilvl w:val="1"/>
          <w:numId w:val="3"/>
        </w:numPr>
      </w:pPr>
      <w:r>
        <w:t>740- title</w:t>
      </w:r>
    </w:p>
    <w:p w:rsidR="0012160D" w:rsidRDefault="007829D6" w:rsidP="0012160D">
      <w:pPr>
        <w:pStyle w:val="ListParagraph"/>
        <w:numPr>
          <w:ilvl w:val="1"/>
          <w:numId w:val="3"/>
        </w:numPr>
      </w:pPr>
      <w:r>
        <w:t xml:space="preserve">Examples: </w:t>
      </w:r>
      <w:r w:rsidR="0012160D">
        <w:t>Most importantly, added authors! Binge boxes, compilation books</w:t>
      </w:r>
    </w:p>
    <w:p w:rsidR="0012160D" w:rsidRDefault="0012160D" w:rsidP="0012160D">
      <w:pPr>
        <w:pStyle w:val="ListParagraph"/>
        <w:numPr>
          <w:ilvl w:val="2"/>
          <w:numId w:val="3"/>
        </w:numPr>
      </w:pPr>
      <w:r>
        <w:t>Dan in real life</w:t>
      </w:r>
    </w:p>
    <w:p w:rsidR="00D82E75" w:rsidRDefault="00D82E75" w:rsidP="00D82E75">
      <w:pPr>
        <w:pStyle w:val="ListParagraph"/>
        <w:numPr>
          <w:ilvl w:val="0"/>
          <w:numId w:val="3"/>
        </w:numPr>
      </w:pPr>
      <w:r>
        <w:t>Coleman went over the parts report in Evergreen again to help people pinpoint some series that might have been affected by the deduplication. Some have found this report helpful in helping them check their shelves.</w:t>
      </w:r>
    </w:p>
    <w:p w:rsidR="00D82E75" w:rsidRDefault="00D82E75" w:rsidP="00D82E75">
      <w:pPr>
        <w:pStyle w:val="ListParagraph"/>
        <w:numPr>
          <w:ilvl w:val="0"/>
          <w:numId w:val="3"/>
        </w:numPr>
      </w:pPr>
      <w:r>
        <w:t>Next cataloging meeting: February 8, 2021.</w:t>
      </w:r>
    </w:p>
    <w:p w:rsidR="00D82E75" w:rsidRDefault="00D82E75" w:rsidP="00D82E75">
      <w:r>
        <w:rPr>
          <w:noProof/>
        </w:rPr>
        <w:drawing>
          <wp:inline distT="0" distB="0" distL="0" distR="0">
            <wp:extent cx="6858000" cy="2298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 search sc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298065"/>
                    </a:xfrm>
                    <a:prstGeom prst="rect">
                      <a:avLst/>
                    </a:prstGeom>
                  </pic:spPr>
                </pic:pic>
              </a:graphicData>
            </a:graphic>
          </wp:inline>
        </w:drawing>
      </w:r>
    </w:p>
    <w:p w:rsidR="00D82E75" w:rsidRDefault="00D82E75" w:rsidP="00D82E75">
      <w:r>
        <w:rPr>
          <w:noProof/>
        </w:rPr>
        <w:drawing>
          <wp:inline distT="0" distB="0" distL="0" distR="0">
            <wp:extent cx="6858000" cy="2864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 search resul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2864485"/>
                    </a:xfrm>
                    <a:prstGeom prst="rect">
                      <a:avLst/>
                    </a:prstGeom>
                  </pic:spPr>
                </pic:pic>
              </a:graphicData>
            </a:graphic>
          </wp:inline>
        </w:drawing>
      </w:r>
    </w:p>
    <w:p w:rsidR="00D82E75" w:rsidRDefault="00D82E75" w:rsidP="00D82E75">
      <w:r>
        <w:rPr>
          <w:noProof/>
        </w:rPr>
        <w:lastRenderedPageBreak/>
        <w:drawing>
          <wp:inline distT="0" distB="0" distL="0" distR="0">
            <wp:extent cx="6858000" cy="208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 Auth Link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2085340"/>
                    </a:xfrm>
                    <a:prstGeom prst="rect">
                      <a:avLst/>
                    </a:prstGeom>
                  </pic:spPr>
                </pic:pic>
              </a:graphicData>
            </a:graphic>
          </wp:inline>
        </w:drawing>
      </w:r>
    </w:p>
    <w:p w:rsidR="00D82E75" w:rsidRDefault="00D82E75" w:rsidP="00D82E75">
      <w:r>
        <w:rPr>
          <w:noProof/>
        </w:rPr>
        <w:drawing>
          <wp:inline distT="0" distB="0" distL="0" distR="0">
            <wp:extent cx="6858000" cy="1682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 Auth Link pag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682115"/>
                    </a:xfrm>
                    <a:prstGeom prst="rect">
                      <a:avLst/>
                    </a:prstGeom>
                  </pic:spPr>
                </pic:pic>
              </a:graphicData>
            </a:graphic>
          </wp:inline>
        </w:drawing>
      </w:r>
    </w:p>
    <w:p w:rsidR="00D82E75" w:rsidRPr="008F731F" w:rsidRDefault="00D82E75" w:rsidP="00D82E75">
      <w:r>
        <w:rPr>
          <w:noProof/>
        </w:rPr>
        <w:drawing>
          <wp:inline distT="0" distB="0" distL="0" distR="0">
            <wp:extent cx="6858000" cy="3524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 Authority file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3524250"/>
                    </a:xfrm>
                    <a:prstGeom prst="rect">
                      <a:avLst/>
                    </a:prstGeom>
                  </pic:spPr>
                </pic:pic>
              </a:graphicData>
            </a:graphic>
          </wp:inline>
        </w:drawing>
      </w:r>
      <w:bookmarkStart w:id="1" w:name="_GoBack"/>
      <w:bookmarkEnd w:id="1"/>
    </w:p>
    <w:sectPr w:rsidR="00D82E75" w:rsidRPr="008F731F" w:rsidSect="008C42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57AE"/>
    <w:multiLevelType w:val="hybridMultilevel"/>
    <w:tmpl w:val="CFDA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26026"/>
    <w:multiLevelType w:val="hybridMultilevel"/>
    <w:tmpl w:val="D97C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46748"/>
    <w:multiLevelType w:val="hybridMultilevel"/>
    <w:tmpl w:val="204C6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E3888"/>
    <w:multiLevelType w:val="hybridMultilevel"/>
    <w:tmpl w:val="DC36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74"/>
    <w:rsid w:val="000638EF"/>
    <w:rsid w:val="000A4333"/>
    <w:rsid w:val="0012160D"/>
    <w:rsid w:val="0020381E"/>
    <w:rsid w:val="00221CB9"/>
    <w:rsid w:val="00252844"/>
    <w:rsid w:val="003D0CA8"/>
    <w:rsid w:val="004E11A4"/>
    <w:rsid w:val="00691F72"/>
    <w:rsid w:val="007829D6"/>
    <w:rsid w:val="008C4274"/>
    <w:rsid w:val="008F731F"/>
    <w:rsid w:val="009375D2"/>
    <w:rsid w:val="00A778E9"/>
    <w:rsid w:val="00CA4B93"/>
    <w:rsid w:val="00D82E75"/>
    <w:rsid w:val="00E3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A40B"/>
  <w15:chartTrackingRefBased/>
  <w15:docId w15:val="{BF2A54F5-41A1-4FFA-94F4-F7007D3E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2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C4274"/>
    <w:pPr>
      <w:ind w:left="720"/>
      <w:contextualSpacing/>
    </w:pPr>
  </w:style>
  <w:style w:type="character" w:styleId="Hyperlink">
    <w:name w:val="Hyperlink"/>
    <w:basedOn w:val="DefaultParagraphFont"/>
    <w:uiPriority w:val="99"/>
    <w:unhideWhenUsed/>
    <w:rsid w:val="000A4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authorities.loc.gov/webvoy.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Coleman</dc:creator>
  <cp:keywords/>
  <dc:description/>
  <cp:lastModifiedBy>Kate Coleman</cp:lastModifiedBy>
  <cp:revision>3</cp:revision>
  <dcterms:created xsi:type="dcterms:W3CDTF">2021-01-19T15:35:00Z</dcterms:created>
  <dcterms:modified xsi:type="dcterms:W3CDTF">2021-01-19T16:15:00Z</dcterms:modified>
</cp:coreProperties>
</file>